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01DA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1DAB" w:rsidRDefault="00423FE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01DAB" w:rsidRDefault="00423FE9">
            <w:pPr>
              <w:spacing w:after="0" w:line="240" w:lineRule="auto"/>
            </w:pPr>
            <w:r>
              <w:t>23552</w:t>
            </w:r>
          </w:p>
        </w:tc>
      </w:tr>
      <w:tr w:rsidR="00B01DA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1DAB" w:rsidRDefault="00423FE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01DAB" w:rsidRDefault="00423FE9">
            <w:pPr>
              <w:spacing w:after="0" w:line="240" w:lineRule="auto"/>
            </w:pPr>
            <w:r>
              <w:t>DOM ZA STARIJE OSOBE KNIN</w:t>
            </w:r>
          </w:p>
        </w:tc>
      </w:tr>
      <w:tr w:rsidR="00B01DA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1DAB" w:rsidRDefault="00423FE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01DAB" w:rsidRDefault="00423FE9">
            <w:pPr>
              <w:spacing w:after="0" w:line="240" w:lineRule="auto"/>
            </w:pPr>
            <w:r>
              <w:t>31</w:t>
            </w:r>
          </w:p>
        </w:tc>
      </w:tr>
    </w:tbl>
    <w:p w:rsidR="00B01DAB" w:rsidRDefault="00423FE9">
      <w:r>
        <w:br/>
      </w:r>
    </w:p>
    <w:p w:rsidR="00B01DAB" w:rsidRDefault="00423FE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01DAB" w:rsidRDefault="00423FE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01DAB" w:rsidRDefault="00423FE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1.070.243,81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1.180.030,47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1.003.213,17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1.218.389,64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38.359,17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41.613,82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35.484,64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41.613,82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34.284,64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82,4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6.962,48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6.962,48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79.606,29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I.  PRIHODI  I PRIMICI POSLOVANJA</w:t>
      </w:r>
    </w:p>
    <w:p w:rsidR="00B01DAB" w:rsidRDefault="00423FE9">
      <w:r>
        <w:t>UKUPNO OSTVARENO 1.181.230,47 eura - šifra X678, veći su za 110.986,66 eura, a sačinjavaju ih</w:t>
      </w:r>
    </w:p>
    <w:p w:rsidR="00B01DAB" w:rsidRDefault="00423FE9">
      <w:r>
        <w:t>1. Prihodi od pomoći proračunskim korisnicima iz proračuna koji im nije nadležan u iznosu od 1.610,00 eura</w:t>
      </w:r>
    </w:p>
    <w:p w:rsidR="00B01DAB" w:rsidRDefault="00423FE9">
      <w:r>
        <w:lastRenderedPageBreak/>
        <w:t>2. Prihodi po posebnim propisima u iznosu od 422.980,00 eura</w:t>
      </w:r>
    </w:p>
    <w:p w:rsidR="00B01DAB" w:rsidRDefault="00423FE9">
      <w:r>
        <w:t>3. Prihodi iz nadležnog proračuna u ukupnom iznosu od 755.440,47 eura, a sačinjavaju ih prihodi iz</w:t>
      </w:r>
    </w:p>
    <w:p w:rsidR="00B01DAB" w:rsidRDefault="00423FE9">
      <w:r>
        <w:t>decentraliziranih sredstava u iznosu od 500.406,64 eura i prihodi iz županijskog proračuna u iznosu od 255.033,83 eura.</w:t>
      </w:r>
    </w:p>
    <w:p w:rsidR="00B01DAB" w:rsidRDefault="00423FE9">
      <w:r>
        <w:t>Sredstva iz županijskog proračuna se sastoje od:</w:t>
      </w:r>
    </w:p>
    <w:p w:rsidR="00B01DAB" w:rsidRDefault="00423FE9">
      <w:r>
        <w:t>- prihoda iz županijskog proračuna u iznosu od 248.000,00 eura – nedostajuća sredstva za </w:t>
      </w:r>
    </w:p>
    <w:p w:rsidR="00B01DAB" w:rsidRDefault="00423FE9">
      <w:r>
        <w:t>  isplatu plaća</w:t>
      </w:r>
    </w:p>
    <w:p w:rsidR="00B01DAB" w:rsidRDefault="00423FE9">
      <w:r>
        <w:t>- prihoda iz županijskog proračuna za otplatu kamata u iznosu od 71,35 eura i</w:t>
      </w:r>
    </w:p>
    <w:p w:rsidR="00B01DAB" w:rsidRDefault="00423FE9">
      <w:r>
        <w:t>- prihoda iz županijskog proračuna za otplatu kredita HBOR-a u iznosu od 6.962,48 eura</w:t>
      </w:r>
    </w:p>
    <w:p w:rsidR="00B01DAB" w:rsidRDefault="00423FE9">
      <w:r>
        <w:t>Prihodi iz nadležnog proračuna su veći za 18,2 % - šifra 671 – povećanje je zbog većeg iznosa decentraliziranih sredstava  u odnosu na prethodnu godinu, a također je dobiveno i više nedostajućih sredstava iz županijskog proračuna koja su tražena i doznačena Domu radi redovite isplate plaća. Ostvareni prihodi Doma nisu dostatni za izvršavanje obveza, a naročito nakon značajnijeg povećanja plaća temeljem nove Uredbe o nazivima radnih mjesta, uvjetima za raspored i koeficijentima za obračun plaće u javnim službama s početkom primjene od 01.03.2024.</w:t>
      </w:r>
    </w:p>
    <w:p w:rsidR="00B01DAB" w:rsidRDefault="00423FE9">
      <w:r>
        <w:t>4. Prihodi od prodaje opreme u iznosu od 1.200,00 eura</w:t>
      </w:r>
    </w:p>
    <w:p w:rsidR="00B01DAB" w:rsidRDefault="00423FE9">
      <w:r>
        <w:t>Dom posluje preko jedinstvenog računa županijske riznice te su prihodi usklađeni s nadležnim proračunom.</w:t>
      </w:r>
    </w:p>
    <w:p w:rsidR="00B01DAB" w:rsidRDefault="00423FE9">
      <w:r>
        <w:t> </w:t>
      </w:r>
    </w:p>
    <w:p w:rsidR="00B01DAB" w:rsidRDefault="00423FE9">
      <w:r>
        <w:t>II. RASHODI I IZDACI POSLOVANJA </w:t>
      </w:r>
    </w:p>
    <w:p w:rsidR="00B01DAB" w:rsidRDefault="00423FE9">
      <w:r>
        <w:t>UKUPNO OSTVARENO 1.260.836,76 eura – šifra Y345, a sačinjavaju ih</w:t>
      </w:r>
    </w:p>
    <w:p w:rsidR="00B01DAB" w:rsidRDefault="00423FE9">
      <w:r>
        <w:t>1.  Rashodi za zaposlene u iznosu od 980.527,51 eura - šifra 31 </w:t>
      </w:r>
    </w:p>
    <w:p w:rsidR="00B01DAB" w:rsidRDefault="00423FE9">
      <w:r>
        <w:t>2.  Materijalni rashodi u iznosu od 226.448,04 eura - šifra 32</w:t>
      </w:r>
    </w:p>
    <w:p w:rsidR="00B01DAB" w:rsidRDefault="00423FE9">
      <w:r>
        <w:t>3.  Financijski rashodi u iznosu od 2.078,72 eura - šifra 34 </w:t>
      </w:r>
    </w:p>
    <w:p w:rsidR="00B01DAB" w:rsidRDefault="00423FE9">
      <w:r>
        <w:t>4.  Naknade građanima i kućanstvima u iznosu od 9.335,37 eura - šifra 37</w:t>
      </w:r>
    </w:p>
    <w:p w:rsidR="00B01DAB" w:rsidRDefault="00423FE9">
      <w:r>
        <w:t>5. Rashodi za nabavu nefinancijske imovine u iznosu od 35.484,64 eura – šifra 45 </w:t>
      </w:r>
    </w:p>
    <w:p w:rsidR="00B01DAB" w:rsidRDefault="00423FE9">
      <w:r>
        <w:t>Sastoje se od hitnih intervencija u iznosu od 19.903,82 eura, nefinancijske imovine u iznosu od 12.970,82, što sveukupno iznosi 32.874,64 eura iz decentraliziranih sredstava i rashoda iz pomoći iz drugih proračuna u iznosu od 1.410,00 eura.</w:t>
      </w:r>
    </w:p>
    <w:p w:rsidR="00B01DAB" w:rsidRDefault="00423FE9">
      <w:r>
        <w:t xml:space="preserve">Iz hitnih intervencija nabavljeno je sljedeće: Profesionalna perilica rublja, </w:t>
      </w:r>
      <w:proofErr w:type="spellStart"/>
      <w:r>
        <w:t>poluprofesionalni</w:t>
      </w:r>
      <w:proofErr w:type="spellEnd"/>
      <w:r>
        <w:t xml:space="preserve"> stroj za glačanje, 2 komada kolica za prljavo rublje, 2 komada košara za perilicu posuđa, računalna oprema, popravak dizala i kuhinjske opreme.</w:t>
      </w:r>
    </w:p>
    <w:p w:rsidR="00B01DAB" w:rsidRDefault="00423FE9">
      <w:r>
        <w:lastRenderedPageBreak/>
        <w:t xml:space="preserve">Iz nefinancijske imovine nabavljeno je sljedeće: Zamjena postojeće </w:t>
      </w:r>
      <w:proofErr w:type="spellStart"/>
      <w:r>
        <w:t>Fluo</w:t>
      </w:r>
      <w:proofErr w:type="spellEnd"/>
      <w:r>
        <w:t xml:space="preserve"> rasvjete Led rasvjetom, dva komada zatvorenih </w:t>
      </w:r>
      <w:proofErr w:type="spellStart"/>
      <w:r>
        <w:t>inox</w:t>
      </w:r>
      <w:proofErr w:type="spellEnd"/>
      <w:r>
        <w:t xml:space="preserve"> kolica za transport hrane (dio-</w:t>
      </w:r>
      <w:proofErr w:type="spellStart"/>
      <w:r>
        <w:t>dec</w:t>
      </w:r>
      <w:proofErr w:type="spellEnd"/>
      <w:r>
        <w:t xml:space="preserve">) i dva komada ormara </w:t>
      </w:r>
      <w:proofErr w:type="spellStart"/>
      <w:r>
        <w:t>ladičara</w:t>
      </w:r>
      <w:proofErr w:type="spellEnd"/>
      <w:r>
        <w:t>.</w:t>
      </w:r>
    </w:p>
    <w:p w:rsidR="00B01DAB" w:rsidRDefault="00423FE9">
      <w:r>
        <w:t xml:space="preserve">Sredstva ostvarena prodajom rabljene opreme u iznosu od 1.200,00 eura su utrošena za financiranje zatvorenih </w:t>
      </w:r>
      <w:proofErr w:type="spellStart"/>
      <w:r>
        <w:t>inox</w:t>
      </w:r>
      <w:proofErr w:type="spellEnd"/>
      <w:r>
        <w:t xml:space="preserve"> kolica za transport hrane, a dio se financirao iz decentraliziranih sredstava.</w:t>
      </w:r>
    </w:p>
    <w:p w:rsidR="00B01DAB" w:rsidRDefault="00423FE9">
      <w:r>
        <w:t xml:space="preserve">6. Izdaci za </w:t>
      </w:r>
      <w:proofErr w:type="spellStart"/>
      <w:r>
        <w:t>za</w:t>
      </w:r>
      <w:proofErr w:type="spellEnd"/>
      <w:r>
        <w:t xml:space="preserve"> otplatu glavnice primljenih kredita i zajmova u iznosu od 6.962,48 eura</w:t>
      </w:r>
    </w:p>
    <w:p w:rsidR="00B01DAB" w:rsidRDefault="00423FE9">
      <w:r>
        <w:t xml:space="preserve">Izvršenje rashoda i izdataka u odnosu na isto razdoblje prethodne godine veće je za 19,9 %. Odstupanja su obrazložena u bilješkama po </w:t>
      </w:r>
      <w:proofErr w:type="spellStart"/>
      <w:r>
        <w:t>pojednim</w:t>
      </w:r>
      <w:proofErr w:type="spellEnd"/>
      <w:r>
        <w:t xml:space="preserve"> pozicijama iz računskog plana. </w:t>
      </w:r>
    </w:p>
    <w:p w:rsidR="00B01DAB" w:rsidRDefault="00423FE9">
      <w:r>
        <w:t>UKUPNI PRIHODI I PRIMICI (šifra X678) IZNOSE 1.181.230,47 eura</w:t>
      </w:r>
    </w:p>
    <w:p w:rsidR="00B01DAB" w:rsidRDefault="00423FE9">
      <w:r>
        <w:t>UKUPNI RASHODI I IZDACI (šifra Y345) IZNOSE 1.260.836,76 eura</w:t>
      </w:r>
    </w:p>
    <w:p w:rsidR="00B01DAB" w:rsidRDefault="00423FE9">
      <w:r>
        <w:t>MANJAK PRIHODA I PRIMITAKA u obračunskom razdoblju (Y005) 79.606,29 eura</w:t>
      </w:r>
    </w:p>
    <w:p w:rsidR="00B01DAB" w:rsidRDefault="00423FE9">
      <w:r>
        <w:t>PRENESENI VIŠAK PRIHODA POSLOVANJA IZ 2024.(šifra 9221-9222) IZNOSI 20.457,21 eura.</w:t>
      </w:r>
    </w:p>
    <w:p w:rsidR="00B01DAB" w:rsidRDefault="00423FE9">
      <w:r>
        <w:t>UKUPAN MANJAK PRIHODA I PRIMITAKA za pokriće u sljedećem razdoblju (šifra Y006) IZNOSI 59.149,08 eura.</w:t>
      </w:r>
    </w:p>
    <w:p w:rsidR="00B01DAB" w:rsidRDefault="00423FE9">
      <w:r>
        <w:t>Ukupan manjak prihoda i primitaka poslovanja nastao je kompenziranjem prihoda i rashoda na razredima 3,4,5,6 i 7, a prema propisima kako se evidentiraju po pojedinim kategorijama.</w:t>
      </w:r>
    </w:p>
    <w:p w:rsidR="00B01DAB" w:rsidRDefault="00423FE9">
      <w:r>
        <w:t xml:space="preserve">Manjak je metodološki, a pokrit će se doznakom decentraliziranih sredstava i sredstava iz županijskog proračuna u siječnju 2026. koja su </w:t>
      </w:r>
      <w:proofErr w:type="spellStart"/>
      <w:r>
        <w:t>namjenjena</w:t>
      </w:r>
      <w:proofErr w:type="spellEnd"/>
      <w:r>
        <w:t xml:space="preserve"> za isplatu place za 12/2025 (13. </w:t>
      </w:r>
      <w:proofErr w:type="spellStart"/>
      <w:r>
        <w:t>reshod</w:t>
      </w:r>
      <w:proofErr w:type="spellEnd"/>
      <w:r>
        <w:t>). Također će se pokriti iz prihoda po posebnim propisima uplaćenih u siječnju 2026.</w:t>
      </w:r>
    </w:p>
    <w:p w:rsidR="00B01DAB" w:rsidRDefault="00423FE9">
      <w:r>
        <w:t>U ovom trenutku prilikom izrade Financijskih izvještaja sve obveze iz 2025. su podmirene. Tijekom 2026. godine Dom će i nadalje uz pomoć županijskih sredstava osiguravati likvidnost poslovanja i pravovremeno izvršavanje obveza.</w:t>
      </w:r>
    </w:p>
    <w:p w:rsidR="00B01DAB" w:rsidRDefault="00423FE9">
      <w:r>
        <w:t>Razlog nastalog manjka je zbog nove metodologije priznavanja rashoda u ovom obračunskom razdoblju i obrazložen je pod šifrom X006. Evidentirano je 13 kontinuiranih mjesečnih rashoda, a u istom razdoblju prethodne godine 12 mjesečnih rashoda (ukinuti su kontinuirani rashodi - novi Pravilnik o proračunskom računovodstvu i računskom planu). Razlog odstupanja najvećim dijelom se odnosi na 13. rashod za zaposlene koji je i najveći mjesečni kontinuirani rashod, a obrazložen je pod šifrom 311.</w:t>
      </w:r>
    </w:p>
    <w:p w:rsidR="00B01DAB" w:rsidRDefault="00423FE9">
      <w:r>
        <w:t xml:space="preserve">Dom se u svom poslovanju ponašao racionalno i nabavljao samo nužno potrebno za redovno poslovanje što pokazuje </w:t>
      </w:r>
      <w:proofErr w:type="spellStart"/>
      <w:r>
        <w:t>index</w:t>
      </w:r>
      <w:proofErr w:type="spellEnd"/>
      <w:r>
        <w:t xml:space="preserve"> ostvarenja na materijalnim rashodima koji su veći samo za 2,8% u odnosu na prethodnu godinu.</w:t>
      </w:r>
    </w:p>
    <w:p w:rsidR="00B01DAB" w:rsidRDefault="00423FE9">
      <w:r>
        <w:t>Ukupno preneseni višak prihoda poslovanja iz 2024. iznosio je 20.514,36 eura. Umanjen je za 57,15 eura povrata neutrošenih sredstava u 2025. HZZZ-e te nakon toga iznosi 20.457,21 eura.</w:t>
      </w:r>
    </w:p>
    <w:p w:rsidR="00B01DAB" w:rsidRDefault="00423FE9">
      <w:r>
        <w:t>Stanje novčanih sredstava na računu na dan 31.12.2025. godine iznosi 627,18 eura i odnosi se na prihode po posebnim  propisima.</w:t>
      </w:r>
    </w:p>
    <w:p w:rsidR="00B01DAB" w:rsidRDefault="00423FE9">
      <w:r>
        <w:lastRenderedPageBreak/>
        <w:t>BILJEŠKE UZ IZVJEŠTAJ BILANCE</w:t>
      </w:r>
    </w:p>
    <w:p w:rsidR="00B01DAB" w:rsidRDefault="00423FE9">
      <w:r>
        <w:t>IMOVINA: 2.863.717,12 eura</w:t>
      </w:r>
    </w:p>
    <w:p w:rsidR="00B01DAB" w:rsidRDefault="00423FE9">
      <w:r>
        <w:t>1. Nefinancijska imovina - šifra B002 iznosi 2.810.878,02 eura </w:t>
      </w:r>
    </w:p>
    <w:p w:rsidR="00B01DAB" w:rsidRDefault="00423FE9">
      <w:r>
        <w:t>2. Financijska imovina - šifra 1 iznosi 52.839,10 eura</w:t>
      </w:r>
    </w:p>
    <w:p w:rsidR="00B01DAB" w:rsidRDefault="00423FE9">
      <w:r>
        <w:t>OBVEZE I VLASTITI IZVORI: 2.863.717,12 eura</w:t>
      </w:r>
    </w:p>
    <w:p w:rsidR="00B01DAB" w:rsidRDefault="00423FE9">
      <w:r>
        <w:t>1. Obveze – šifra 2, u iznosu od 92.926,10 eura</w:t>
      </w:r>
    </w:p>
    <w:p w:rsidR="00B01DAB" w:rsidRDefault="00423FE9">
      <w:r>
        <w:t>2. Vlastiti izvori - šifra 9, u iznosu od 2.770.791,02 eura</w:t>
      </w:r>
    </w:p>
    <w:p w:rsidR="00B01DAB" w:rsidRDefault="00423FE9">
      <w:r>
        <w:t>Sve obveze i potraživanja su nedospjela.</w:t>
      </w:r>
    </w:p>
    <w:p w:rsidR="00B01DAB" w:rsidRDefault="00423FE9">
      <w:r>
        <w:t>Obvezne bilješke uz Bilancu</w:t>
      </w:r>
    </w:p>
    <w:p w:rsidR="00B01DAB" w:rsidRDefault="00423FE9">
      <w:r>
        <w:t>1. Ugovorni odnos i slično koji uz ispunjenje određenih uvjeta mogu postati obveza ili imovina Dom nema.</w:t>
      </w:r>
    </w:p>
    <w:p w:rsidR="00B01DAB" w:rsidRDefault="00423FE9">
      <w:r>
        <w:t>2. Sudske sporove u tijeku Dom nema.</w:t>
      </w:r>
    </w:p>
    <w:p w:rsidR="00B01DAB" w:rsidRDefault="00423FE9">
      <w:r>
        <w:t> </w:t>
      </w:r>
    </w:p>
    <w:p w:rsidR="00B01DAB" w:rsidRDefault="00423FE9">
      <w:r>
        <w:t> </w:t>
      </w:r>
    </w:p>
    <w:p w:rsidR="00B01DAB" w:rsidRDefault="00423FE9">
      <w:r>
        <w:t> </w:t>
      </w:r>
    </w:p>
    <w:p w:rsidR="00B01DAB" w:rsidRDefault="00423FE9">
      <w:r>
        <w:br/>
      </w:r>
    </w:p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248,6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Pomoći proračunskim korisnicima iz proračuna koji im nije nadležan</w:t>
      </w:r>
    </w:p>
    <w:p w:rsidR="00B01DAB" w:rsidRDefault="00423FE9">
      <w:r>
        <w:t>U 2025. godini je ostvaren prihod iz drugih proračuna u iznosu od 1.610,00 eura i veći je za 962,44 eura u odnosu na 2024., odnosno za 148,60 %. Ostvareno je više kapitalnih pomoći iz drugih proračuna.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421.980,00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422.980,00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Prihodi po posebnim propisima iznose 422.980,00 eura.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8.257,92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U 2024. godini ostvaren je prihod od donacije opreme u iznosu od 8.257,92 eura, a u 2025. nije bilo ostvarenja.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639.358,33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755.440,47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Prihodi iz nadležnog proračuna u ukupnom iznosu od 755.440,47 eura, veći su za 116.082,14 eura, odnosno 18,2%.</w:t>
      </w:r>
    </w:p>
    <w:p w:rsidR="00B01DAB" w:rsidRDefault="00423FE9">
      <w:r>
        <w:t>Povećanje je zbog većeg iznosa decentraliziranih sredstava u odnosu na prethodnu godinu, a također je dobiveno i više nedostajućih sredstava iz županijskog proračuna koja su tražena i doznačena Domu radi redovne isplate plaća. Ostvareni prihodi Doma nisu dostatni za izvršavanje obveza, a naročito nakon značajnijeg povećanja plaća temeljem nove Uredbe o nazivima radnih mjesta, uvjetima za raspored i koeficijentima za obračun plaće u javnim službama s početkom primjene od 01.03.2024.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637.914,60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809.363,47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Iznos bruto plaće na računu 311 u obračunskom razdoblju u odnosu na isto razdoblje prethodne godine veći je za 171.448,87 eura, odnosno 26,9 %. Razlozi većeg odstupanja su sljedeći: 1. sukladno novoj metodologiji priznavanja rashoda u ovom obračunskom razdoblju evidentirano je 13 rashoda za zaposlene, a u istom razdoblju prethodne godine 12 mjesečnih rashoda (ukinuti su kontinuirani rashodi - novi Pravilnik o proračunskom računovodstvu i računskom planu) 2. veći je iznos bruto plaća i zbog toga što su plaće za zaposlene značajnije veće u ovom obračunskom razdoblju u odnosu na isto razdoblje prethodne godine. Od 01.03.2024. značajnije su povećane plaće za zaposlene temeljem nove Uredbe o nazivima radnih mjesta, uvjetima za raspored i koeficijentima za obračun plaće u javnim službama. U 2024. primjena za povećanje plaća je od 01.03.2024., a u 2025. odnosi se na cijelu proračunsku godinu. Osim toga plaće su tijekom 2025. dva puta povećavane po 3%, a također je bilo i zapošljavanje novih radnika.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32.990,86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38.087,61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Ostali rashodi za zaposlene u ovom obračunskom razdoblju su veći za 5.096,75 eura, odnosno 15,4%. Razlog odstupanja je što je ova vrsta rashoda uvijek nepredvidiva budući da se određene novčane pomoći ne mogu predvidjeti niti planirati kao npr. duže bolovanje, pomoći u sl. smrtnog slučaja, a i ostale naknade su različite svake godine kao npr. jubilarne nagrade.</w:t>
      </w:r>
    </w:p>
    <w:p w:rsidR="00B01DAB" w:rsidRDefault="00423FE9">
      <w:r>
        <w:t> 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lastRenderedPageBreak/>
        <w:t>U 2025. su veći za 1.508,02 eura, odnosno 19,3%, a zbog povećanja osnovice za izračun naknada u sustavu socijalne skrbi.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241,9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Obračunati prihodi - nenaplaćeni – su nedospjeli, a odnose se potraživanja za usluge smještaja korisnika za 11/25 i 12/25  iz nadležnog ministarstva i ostale usluge. Veći su za 141,9%, odnosno 11.182,07 eura u odnosu na 2024. Razlog odstupanja je što račun za korisnike smještaja za 11/25 nije uplaćen do 31.12.2025. već je uplaćen 05.01.2026. te je evidentiran kao potraživanje. Evidentirat će se kao prihod u 2026.</w:t>
      </w:r>
    </w:p>
    <w:p w:rsidR="00B01DAB" w:rsidRDefault="00423FE9">
      <w:r>
        <w:t>Naplata prihoda za obračunsko razdoblje bila je pravovremena.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postrojenja i opreme (šifre 7221 do 7228)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U 2025. godini ostvareno je 1.200,00 eura od prodaje rabljene opreme, a u 2024. nije bilo te vrste prihoda.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 xml:space="preserve">U 2025. godini ostvarena je kapitalna pomoć u iznosu od 810,00 eura, a shodno tome i evidentiran </w:t>
      </w:r>
      <w:proofErr w:type="spellStart"/>
      <w:r>
        <w:t>reshod</w:t>
      </w:r>
      <w:proofErr w:type="spellEnd"/>
      <w:r>
        <w:t>, u 2024. tog rashoda nije bilo.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19.149,95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10.662,86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55,7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 xml:space="preserve">U ovom obračunskom razdoblju ostvareno je manje rashoda za 8.487,09 eura u odnosu na 2024. Razlog odstupanja je što je u ovom obračunskom razdoblju u 2025. realizirano manje dodatnih ulaganja iz </w:t>
      </w:r>
      <w:proofErr w:type="spellStart"/>
      <w:r>
        <w:t>decentralizirnih</w:t>
      </w:r>
      <w:proofErr w:type="spellEnd"/>
      <w:r>
        <w:t xml:space="preserve"> sredstava, više na drugim pozicijama, a sukladno Financijskom planu Doma.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241,9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Obračunati prihodi su veći za 141,9 %. Naplatit će se u 2026. godini kao što je obrazloženo pod šifrom 165.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u javnom sektoru (šifre 5422 do 5424)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Iznosi 6.962,48 eura, a odnosi se na dvije šestomjesečne rate povrata kredit HBOR-u za energetsku obnovu zgrade Doma, a otplata je iz sredstava županijskog proračuna.</w:t>
      </w:r>
    </w:p>
    <w:p w:rsidR="00B01DAB" w:rsidRDefault="00423FE9">
      <w:r>
        <w:t> 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20.514,36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U 2025. nije ostvaren višak prihoda i primitaka raspoloživ u sljedećem obračunskom razdoblju poslovanja, a u 2024. je ostvaren u iznosu od 20.514,36 eura. Razlog odstupanja  je zbog nove metodologiji priznavanja rashoda u ovom obračunskom razdoblju. Evidentirano je 13 kontinuiranih mjesečnih rashoda, a u istom razdoblju prethodne godine 12 mjesečnih rashoda (ukinuti su kontinuirani rashodi - novi Pravilnik o proračunskom računovodstvu i računskom planu). Razlog odstupanja najvećim dijelom se odnosi na 13. rashod za zaposlene koji je i najveći mjesečni rashod, a obrazloženo je pod šifrom 311.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59.149,08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 </w:t>
      </w:r>
    </w:p>
    <w:p w:rsidR="00B01DAB" w:rsidRDefault="00423FE9">
      <w:r>
        <w:t>U 2025. godini manjak prihoda i primitaka za pokriće u sljedećem razdoblju u ovom izvještajnom razdoblju iznosi 59.149,08 eura, a u  2024. manjka nije bilo. Razlog odstupanja je zbog nove metodologije priznavanja rashoda i obrazložen pod šifrom X006, a najviše odnosi na rashode za zaposlene i obrazložen je pod šifrom 311.</w:t>
      </w:r>
    </w:p>
    <w:p w:rsidR="00B01DAB" w:rsidRDefault="00423FE9">
      <w:r>
        <w:t xml:space="preserve">Manjak je metodološki i pokrit će se doznakom decentraliziranih sredstava i sredstava iz županijskog proračuna u siječnju 2026. koja su </w:t>
      </w:r>
      <w:proofErr w:type="spellStart"/>
      <w:r>
        <w:t>namjenjena</w:t>
      </w:r>
      <w:proofErr w:type="spellEnd"/>
      <w:r>
        <w:t xml:space="preserve"> za isplatu place za 12/2025 (13. rashod). Također iz sredstva po posebnim propisima uplaćenih u siječnju 2026.</w:t>
      </w:r>
    </w:p>
    <w:p w:rsidR="00B01DAB" w:rsidRDefault="00423FE9">
      <w:r>
        <w:t>U ovom trenutku izrade Financijskih izvještaja sve obveze iz 2025. su podmirene. Tijekom 2026. godine Dom će i nadalje uz pomoć županijskih sredstava osiguravati likvidnost poslovanja i pravovremeno izvršavanje obveza.</w:t>
      </w:r>
    </w:p>
    <w:p w:rsidR="00B01DAB" w:rsidRDefault="00423FE9">
      <w:r>
        <w:t xml:space="preserve">Dom se u svom poslovanju ponašao racionalno i nabavljao samo nužno potrebno za redovno poslovanje što pokazuje </w:t>
      </w:r>
      <w:proofErr w:type="spellStart"/>
      <w:r>
        <w:t>index</w:t>
      </w:r>
      <w:proofErr w:type="spellEnd"/>
      <w:r>
        <w:t xml:space="preserve"> ostvarenja na materijalnim rashodima koji su veći samo za 2,8% u odnosu na prethodnu godinu.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 djela (izložena u galerijama, muzejima i slično)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Iznos je veći za 810,00 eura, odnosno 22,4%, a odnosi se na darovane umjetničke slike u 2025.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Stanje novčanih sredstava na računu na dan 31.12.2025. godine iznosi 627,18 eura i odnosi se na prihode po posebnim  propisima.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728,7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Ostala potraživanja u 2025. su veća za 6.299,89 eura u odnosu na 2024. godinu. Razlog odstupanja su povećane naknade za bolovanja preko HZZO-a te je i iznos veći.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19.062,08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241,9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lastRenderedPageBreak/>
        <w:t>Potraživanja su veća za 141,9%. Nedospjela su i veća su iz razloga što račun za korisnike smještaja za 11/25 nije uplaćen do 31.12.2025., već je uplaćen 05.01.2026. te je evidentiran kao nedospjelo potraživanje. Evidentirat će se kao prihod u 2026.</w:t>
      </w:r>
    </w:p>
    <w:p w:rsidR="00B01DAB" w:rsidRDefault="00423FE9">
      <w:r>
        <w:t>Naplata prihoda za obračunsko razdoblje bila je pravovremena.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78.969,02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89.059,98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 xml:space="preserve">Obveze za rashode poslovanja u 2025. su veće za 10.090,96 eura u odnosu na 2024. Razlog odstupanja su veći rashodi za zaposlene i tekući rashodi za 12/2025. Tijekom 2025. bila su dva povećanja plaća po 3% i Dom je tijekom 2025. godine zaposlio nove radnike te je i mjesečni </w:t>
      </w:r>
      <w:proofErr w:type="spellStart"/>
      <w:r>
        <w:t>reshod</w:t>
      </w:r>
      <w:proofErr w:type="spellEnd"/>
      <w:r>
        <w:t xml:space="preserve"> za plaće veći.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59.149,08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 xml:space="preserve">Manjak je metodološki, a pokrit će se doznakom decentraliziranih sredstava i sredstava iz županijskog proračuna u siječnju 2026. koja su </w:t>
      </w:r>
      <w:proofErr w:type="spellStart"/>
      <w:r>
        <w:t>namjenjena</w:t>
      </w:r>
      <w:proofErr w:type="spellEnd"/>
      <w:r>
        <w:t xml:space="preserve"> za isplatu place za 12/2025 (13. rashod). Također će se pokriti iz prihoda po posebnim propisima uplaćenih u siječnju 2026.</w:t>
      </w:r>
    </w:p>
    <w:p w:rsidR="00B01DAB" w:rsidRDefault="00423FE9">
      <w:r>
        <w:t>U ovom trenutku prilikom izrade Financijskih izvještaja sve obveze iz 2025. su podmirene. Tijekom 2026. godine Dom će i nadalje uz pomoć županijskih sredstava osiguravati likvidnost poslovanja i pravovremeno izvršavanje obveza.</w:t>
      </w:r>
    </w:p>
    <w:p w:rsidR="00B01DAB" w:rsidRDefault="00423FE9">
      <w:r>
        <w:t xml:space="preserve">Razlog nastalog manjka je zbog nove metodologiji priznavanja rashoda u ovom obračunskom razdoblju i obrazložen je pod šifrom X006. Evidentirano je 13 kontinuiranih mjesečnih rashoda, a u istom razdoblju prethodne godine 12 mjesečnih rashoda (ukinuti su kontinuirani rashodi - novi Pravilnik o proračunskom računovodstvu i računskom planu). Razlog odstupanja najvećim dijelom se odnosi na 13. </w:t>
      </w:r>
      <w:proofErr w:type="spellStart"/>
      <w:r>
        <w:t>reshod</w:t>
      </w:r>
      <w:proofErr w:type="spellEnd"/>
      <w:r>
        <w:t xml:space="preserve"> za zaposlene koji je i najveći mjesečni kontinuirani rashod, a obrazložen je pod šifrom 311.</w:t>
      </w:r>
    </w:p>
    <w:p w:rsidR="00B01DAB" w:rsidRDefault="00423FE9">
      <w:r>
        <w:t>Ukupno preneseni višak prihoda poslovanja iz 2024. iznosio je 20.514,36 eura. Umanjen je za 57,15 eura povrata neutrošenih sredstava u 2025., HZZZ-e te nakon toga iznosi 20.457,21 eura.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Potencijalne obveze Dom nema.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1.044.826,99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1.253.874,28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Veći su za 209.047,29 eura, odnosno 20% u odnosu na 2024. Razlog povećanja je obrazložen pod šifrom X006 zbog nove metodologije priznavanja rashoda, povećanja plaća i povećanja ostalih rashoda.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60.138,34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7424,5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Povećanje u iznosu od 810,00 eura se odnosi na primljene kapitalne donacije iz drugih proračuna, a smanjenje na</w:t>
      </w:r>
    </w:p>
    <w:p w:rsidR="00B01DAB" w:rsidRDefault="00423FE9">
      <w:r>
        <w:t>evidentirani ispravak vrijednosti dugotrajne nefinancijske imovine.</w:t>
      </w:r>
    </w:p>
    <w:p w:rsidR="00B01DAB" w:rsidRDefault="00423FE9">
      <w:r>
        <w:t> 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Dom nema dospjelih obveza na dan 31.12.2025.</w:t>
      </w:r>
    </w:p>
    <w:p w:rsidR="00B01DAB" w:rsidRDefault="00B01DAB"/>
    <w:p w:rsidR="00B01DAB" w:rsidRDefault="00423FE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01DA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1D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B01DA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89.059,98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1DAB" w:rsidRDefault="00423FE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1DAB" w:rsidRDefault="00B01DAB">
      <w:pPr>
        <w:spacing w:after="0"/>
      </w:pPr>
    </w:p>
    <w:p w:rsidR="00B01DAB" w:rsidRDefault="00423FE9">
      <w:r>
        <w:t>Obveze iznose 89.059,98 eura i nedospjele su. Odnose se na obveze za zaposlene i ostale tekuće rashode.</w:t>
      </w:r>
    </w:p>
    <w:p w:rsidR="003F56EE" w:rsidRDefault="003F56EE" w:rsidP="003F56EE">
      <w:pPr>
        <w:spacing w:line="240" w:lineRule="auto"/>
      </w:pPr>
    </w:p>
    <w:p w:rsidR="003F56EE" w:rsidRDefault="003F56EE" w:rsidP="003F56EE">
      <w:pPr>
        <w:spacing w:line="240" w:lineRule="auto"/>
        <w:rPr>
          <w:color w:val="C00000"/>
        </w:rPr>
      </w:pPr>
      <w:r>
        <w:rPr>
          <w:color w:val="000000"/>
        </w:rPr>
        <w:t>URBROJ: 2182-10-19-</w:t>
      </w:r>
      <w:r>
        <w:rPr>
          <w:color w:val="000000"/>
        </w:rPr>
        <w:t>26</w:t>
      </w:r>
      <w:r>
        <w:rPr>
          <w:color w:val="000000"/>
        </w:rPr>
        <w:t>-</w:t>
      </w:r>
      <w:r>
        <w:rPr>
          <w:color w:val="000000"/>
        </w:rPr>
        <w:t>65</w:t>
      </w:r>
    </w:p>
    <w:p w:rsidR="003F56EE" w:rsidRDefault="003F56EE" w:rsidP="003F56EE">
      <w:pPr>
        <w:spacing w:line="240" w:lineRule="auto"/>
      </w:pPr>
      <w:r>
        <w:rPr>
          <w:color w:val="000000"/>
        </w:rPr>
        <w:t>Knin</w:t>
      </w:r>
      <w:r>
        <w:t xml:space="preserve">, </w:t>
      </w:r>
      <w:r>
        <w:t>29</w:t>
      </w:r>
      <w:r>
        <w:rPr>
          <w:color w:val="C00000"/>
        </w:rPr>
        <w:t>.</w:t>
      </w:r>
      <w:r>
        <w:t xml:space="preserve"> </w:t>
      </w:r>
      <w:r>
        <w:t>siječnja</w:t>
      </w:r>
      <w:r>
        <w:t xml:space="preserve"> 2026. </w:t>
      </w:r>
    </w:p>
    <w:p w:rsidR="000E10F4" w:rsidRDefault="000E10F4" w:rsidP="003F56EE">
      <w:bookmarkStart w:id="0" w:name="_GoBack"/>
      <w:bookmarkEnd w:id="0"/>
    </w:p>
    <w:p w:rsidR="00E8468A" w:rsidRDefault="00E8468A"/>
    <w:p w:rsidR="00E8468A" w:rsidRDefault="00E8468A">
      <w:r>
        <w:t>Voditeljica računovodstva</w:t>
      </w:r>
      <w:r>
        <w:tab/>
      </w:r>
      <w:r>
        <w:tab/>
        <w:t xml:space="preserve">                                             Ravnateljica</w:t>
      </w:r>
    </w:p>
    <w:p w:rsidR="00E8468A" w:rsidRDefault="00E8468A">
      <w:r>
        <w:t xml:space="preserve">      Kata </w:t>
      </w:r>
      <w:proofErr w:type="spellStart"/>
      <w:r>
        <w:t>Krišto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 Cecilija </w:t>
      </w:r>
      <w:proofErr w:type="spellStart"/>
      <w:r>
        <w:t>Tolo</w:t>
      </w:r>
      <w:proofErr w:type="spellEnd"/>
      <w:r>
        <w:t>, dipl. iur.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8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AB"/>
    <w:rsid w:val="000E10F4"/>
    <w:rsid w:val="003F56EE"/>
    <w:rsid w:val="00423FE9"/>
    <w:rsid w:val="00B01DAB"/>
    <w:rsid w:val="00E8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743DC-43B9-409D-9277-C951C778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Korisnik567</dc:creator>
  <cp:lastModifiedBy>Dom za Starije Knin</cp:lastModifiedBy>
  <cp:revision>8</cp:revision>
  <dcterms:created xsi:type="dcterms:W3CDTF">2026-01-29T12:07:00Z</dcterms:created>
  <dcterms:modified xsi:type="dcterms:W3CDTF">2026-01-29T12:15:00Z</dcterms:modified>
</cp:coreProperties>
</file>